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DCAEA" w14:textId="77777777" w:rsidR="00C96D0E" w:rsidRPr="00B726F9" w:rsidRDefault="00C96D0E" w:rsidP="00C96D0E">
      <w:pPr>
        <w:pStyle w:val="NormalWeb"/>
        <w:rPr>
          <w:rFonts w:ascii="Helvetica" w:hAnsi="Helvetica"/>
          <w:sz w:val="28"/>
          <w:szCs w:val="28"/>
        </w:rPr>
      </w:pPr>
    </w:p>
    <w:p w14:paraId="504E42E1" w14:textId="77777777" w:rsidR="00C96D0E" w:rsidRPr="00B726F9" w:rsidRDefault="00B726F9" w:rsidP="00C96D0E">
      <w:pPr>
        <w:spacing w:after="0" w:line="240" w:lineRule="auto"/>
        <w:jc w:val="center"/>
        <w:rPr>
          <w:rFonts w:ascii="Helvetica" w:hAnsi="Helvetica"/>
          <w:b/>
          <w:bCs/>
          <w:sz w:val="36"/>
          <w:szCs w:val="36"/>
          <w:lang w:val="fr-FR"/>
        </w:rPr>
      </w:pPr>
      <w:bookmarkStart w:id="0" w:name="_GoBack"/>
      <w:r>
        <w:rPr>
          <w:rFonts w:ascii="Helvetica" w:hAnsi="Helvetica"/>
          <w:b/>
          <w:bCs/>
          <w:sz w:val="36"/>
          <w:szCs w:val="36"/>
          <w:lang w:val="fr-FR"/>
        </w:rPr>
        <w:t xml:space="preserve">Abstract Oral </w:t>
      </w:r>
      <w:proofErr w:type="spellStart"/>
      <w:r>
        <w:rPr>
          <w:rFonts w:ascii="Helvetica" w:hAnsi="Helvetica"/>
          <w:b/>
          <w:bCs/>
          <w:sz w:val="36"/>
          <w:szCs w:val="36"/>
          <w:lang w:val="fr-FR"/>
        </w:rPr>
        <w:t>presentation</w:t>
      </w:r>
      <w:proofErr w:type="spellEnd"/>
      <w:r>
        <w:rPr>
          <w:rFonts w:ascii="Helvetica" w:hAnsi="Helvetica"/>
          <w:b/>
          <w:bCs/>
          <w:sz w:val="36"/>
          <w:szCs w:val="36"/>
          <w:lang w:val="fr-FR"/>
        </w:rPr>
        <w:t xml:space="preserve"> </w:t>
      </w:r>
      <w:r w:rsidR="00C96D0E" w:rsidRPr="00B726F9">
        <w:rPr>
          <w:rFonts w:ascii="Helvetica" w:hAnsi="Helvetica"/>
          <w:b/>
          <w:bCs/>
          <w:sz w:val="36"/>
          <w:szCs w:val="36"/>
          <w:lang w:val="fr-FR"/>
        </w:rPr>
        <w:t xml:space="preserve">IFO Vancouver 2016 </w:t>
      </w:r>
    </w:p>
    <w:bookmarkEnd w:id="0"/>
    <w:p w14:paraId="6568A3B4" w14:textId="77777777" w:rsidR="00C96D0E" w:rsidRPr="00B726F9" w:rsidRDefault="00C96D0E" w:rsidP="00C96D0E">
      <w:pPr>
        <w:spacing w:after="0" w:line="240" w:lineRule="auto"/>
        <w:jc w:val="center"/>
        <w:rPr>
          <w:rFonts w:ascii="Helvetica" w:hAnsi="Helvetica"/>
          <w:sz w:val="28"/>
          <w:szCs w:val="28"/>
          <w:lang w:val="fr-FR"/>
        </w:rPr>
      </w:pPr>
    </w:p>
    <w:p w14:paraId="7A5D14CB" w14:textId="77777777" w:rsidR="00C96D0E" w:rsidRPr="00B726F9" w:rsidRDefault="00C96D0E" w:rsidP="00C96D0E">
      <w:pPr>
        <w:spacing w:after="0" w:line="240" w:lineRule="auto"/>
        <w:jc w:val="center"/>
        <w:rPr>
          <w:rFonts w:ascii="Helvetica" w:hAnsi="Helvetica"/>
          <w:sz w:val="28"/>
          <w:szCs w:val="28"/>
          <w:lang w:val="fr-FR"/>
        </w:rPr>
      </w:pPr>
    </w:p>
    <w:p w14:paraId="5FF398DE" w14:textId="77777777" w:rsidR="00C96D0E" w:rsidRPr="00B726F9" w:rsidRDefault="00C96D0E" w:rsidP="00B726F9">
      <w:pPr>
        <w:spacing w:after="0" w:line="240" w:lineRule="auto"/>
        <w:rPr>
          <w:rFonts w:ascii="Helvetica" w:hAnsi="Helvetica" w:cs="Arial"/>
          <w:b/>
          <w:bCs/>
          <w:color w:val="222222"/>
          <w:sz w:val="28"/>
          <w:szCs w:val="28"/>
          <w:shd w:val="clear" w:color="auto" w:fill="FFFFFF"/>
        </w:rPr>
      </w:pPr>
      <w:r w:rsidRPr="00B726F9">
        <w:rPr>
          <w:rFonts w:ascii="Helvetica" w:hAnsi="Helvetica" w:cs="Arial"/>
          <w:b/>
          <w:bCs/>
          <w:color w:val="222222"/>
          <w:sz w:val="28"/>
          <w:szCs w:val="28"/>
          <w:shd w:val="clear" w:color="auto" w:fill="FFFFFF"/>
        </w:rPr>
        <w:t xml:space="preserve">3-Year Weight Loss Maintenance after Assigning Overweight/Obese Patients to either a Low Carbohydrate or a </w:t>
      </w:r>
      <w:proofErr w:type="gramStart"/>
      <w:r w:rsidRPr="00B726F9">
        <w:rPr>
          <w:rFonts w:ascii="Helvetica" w:hAnsi="Helvetica" w:cs="Arial"/>
          <w:b/>
          <w:bCs/>
          <w:color w:val="222222"/>
          <w:sz w:val="28"/>
          <w:szCs w:val="28"/>
          <w:shd w:val="clear" w:color="auto" w:fill="FFFFFF"/>
        </w:rPr>
        <w:t>Low Fat</w:t>
      </w:r>
      <w:proofErr w:type="gramEnd"/>
      <w:r w:rsidRPr="00B726F9">
        <w:rPr>
          <w:rFonts w:ascii="Helvetica" w:hAnsi="Helvetica" w:cs="Arial"/>
          <w:b/>
          <w:bCs/>
          <w:color w:val="222222"/>
          <w:sz w:val="28"/>
          <w:szCs w:val="28"/>
          <w:shd w:val="clear" w:color="auto" w:fill="FFFFFF"/>
        </w:rPr>
        <w:t xml:space="preserve"> Diet according to Insulin Sensitivity</w:t>
      </w:r>
    </w:p>
    <w:p w14:paraId="1F3C76DC" w14:textId="77777777" w:rsidR="00C96D0E" w:rsidRPr="00B726F9" w:rsidRDefault="00C96D0E" w:rsidP="00B726F9">
      <w:pPr>
        <w:spacing w:after="0" w:line="240" w:lineRule="auto"/>
        <w:rPr>
          <w:rFonts w:ascii="Helvetica" w:hAnsi="Helvetica" w:cs="Arial"/>
          <w:b/>
          <w:bCs/>
          <w:color w:val="222222"/>
          <w:sz w:val="28"/>
          <w:szCs w:val="28"/>
          <w:shd w:val="clear" w:color="auto" w:fill="FFFFFF"/>
        </w:rPr>
      </w:pPr>
      <w:r w:rsidRPr="00B726F9">
        <w:rPr>
          <w:rFonts w:ascii="Helvetica" w:hAnsi="Helvetica" w:cs="Arial"/>
          <w:b/>
          <w:bCs/>
          <w:color w:val="222222"/>
          <w:sz w:val="28"/>
          <w:szCs w:val="28"/>
          <w:shd w:val="clear" w:color="auto" w:fill="FFFFFF"/>
        </w:rPr>
        <w:t xml:space="preserve">  </w:t>
      </w:r>
    </w:p>
    <w:p w14:paraId="6DA89336" w14:textId="77777777" w:rsidR="00C96D0E" w:rsidRPr="00B726F9" w:rsidRDefault="00C96D0E" w:rsidP="00C96D0E">
      <w:pPr>
        <w:spacing w:after="0" w:line="240" w:lineRule="auto"/>
        <w:ind w:firstLine="720"/>
        <w:jc w:val="both"/>
        <w:rPr>
          <w:rFonts w:ascii="Helvetica" w:hAnsi="Helvetica"/>
          <w:sz w:val="28"/>
          <w:szCs w:val="28"/>
        </w:rPr>
      </w:pPr>
      <w:r w:rsidRPr="00B726F9">
        <w:rPr>
          <w:rFonts w:ascii="Helvetica" w:hAnsi="Helvetica"/>
          <w:sz w:val="28"/>
          <w:szCs w:val="28"/>
        </w:rPr>
        <w:t xml:space="preserve">Successful weight loss maintenance is defined as intentional weight loss of &gt;10% and the ability to maintain it for 1yr. Weight loss from usual interventions usually peaks at 6months, followed by gradual weight regain in most people. </w:t>
      </w:r>
      <w:r w:rsidRPr="00B726F9">
        <w:rPr>
          <w:rFonts w:ascii="Helvetica" w:hAnsi="Helvetica" w:cs="Times-Roman"/>
          <w:sz w:val="28"/>
          <w:szCs w:val="28"/>
        </w:rPr>
        <w:t xml:space="preserve">Our aim is to assess long-term weight loss maintenance in subjects after </w:t>
      </w:r>
      <w:r w:rsidRPr="00B726F9">
        <w:rPr>
          <w:rFonts w:ascii="Helvetica" w:hAnsi="Helvetica"/>
          <w:sz w:val="28"/>
          <w:szCs w:val="28"/>
        </w:rPr>
        <w:t xml:space="preserve">3yrs from instruction on a macronutrient restricted diet at our clinic. </w:t>
      </w:r>
      <w:r w:rsidRPr="00B726F9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 xml:space="preserve">We identified 608 non-diabetics older than 18yrs, who were allocated to either low fat (LF) or </w:t>
      </w:r>
      <w:r w:rsidRPr="00B726F9">
        <w:rPr>
          <w:rFonts w:ascii="Helvetica" w:hAnsi="Helvetica"/>
          <w:sz w:val="28"/>
          <w:szCs w:val="28"/>
          <w:shd w:val="clear" w:color="auto" w:fill="FFFFFF"/>
        </w:rPr>
        <w:t xml:space="preserve">low carbohydrate non-ketogenic (LC) diets. Both diets stressed macronutrient restriction and no calorie counting. Diet allocation to either diet was based on insulin dynamics; patients with reduced insulin sensitivity were assigned to LC diet. </w:t>
      </w:r>
      <w:r w:rsidRPr="00B726F9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 xml:space="preserve">Patients instructed on these diets in 2012 were contacted </w:t>
      </w:r>
      <w:r w:rsidRPr="00B726F9">
        <w:rPr>
          <w:rFonts w:ascii="Helvetica" w:hAnsi="Helvetica" w:cs="Times-Roman"/>
          <w:sz w:val="28"/>
          <w:szCs w:val="28"/>
        </w:rPr>
        <w:t xml:space="preserve">by phone. Due to the lack of definition for </w:t>
      </w:r>
      <w:r w:rsidRPr="00B726F9">
        <w:rPr>
          <w:rFonts w:ascii="Helvetica" w:eastAsia="Times New Roman" w:hAnsi="Helvetica" w:cs="Arial"/>
          <w:color w:val="222222"/>
          <w:sz w:val="28"/>
          <w:szCs w:val="28"/>
        </w:rPr>
        <w:t xml:space="preserve">successful </w:t>
      </w:r>
      <w:r w:rsidRPr="00B726F9">
        <w:rPr>
          <w:rFonts w:ascii="Helvetica" w:hAnsi="Helvetica" w:cs="Times-Roman"/>
          <w:sz w:val="28"/>
          <w:szCs w:val="28"/>
        </w:rPr>
        <w:t xml:space="preserve">weight loss maintenance after 3yrs, </w:t>
      </w:r>
      <w:r w:rsidRPr="00B726F9">
        <w:rPr>
          <w:rFonts w:ascii="Helvetica" w:eastAsia="Times New Roman" w:hAnsi="Helvetica" w:cs="Arial"/>
          <w:color w:val="222222"/>
          <w:sz w:val="28"/>
          <w:szCs w:val="28"/>
        </w:rPr>
        <w:t>we defined it as weight loss of &gt;5%.</w:t>
      </w:r>
      <w:r w:rsidRPr="00B726F9">
        <w:rPr>
          <w:rFonts w:ascii="Helvetica" w:hAnsi="Helvetica" w:cs="Arial"/>
          <w:color w:val="000000"/>
          <w:sz w:val="28"/>
          <w:szCs w:val="28"/>
          <w:shd w:val="clear" w:color="auto" w:fill="FFFFFF"/>
        </w:rPr>
        <w:t xml:space="preserve"> </w:t>
      </w:r>
      <w:r w:rsidRPr="00B726F9">
        <w:rPr>
          <w:rFonts w:ascii="Helvetica" w:hAnsi="Helvetica" w:cs="Times-Roman"/>
          <w:sz w:val="28"/>
          <w:szCs w:val="28"/>
        </w:rPr>
        <w:t>Of 364 patients who responded, we excluded those who took antidepressants, corticosteroids; underwent sleeve, major operation; had cancer; were pregnant; or tried other diets. In the LC diet, patients (n=253: 36% male and 64% female) had a mean age of 38.7±0.8yrs, and 40.3% of them maintained weight loss; achieving a significant decrease in weight (89.2±2.0 vs 78.5±1.8kg, p&lt;0.001) and BMI (32.4±0.6 vs 28.5±0.5kg/m</w:t>
      </w:r>
      <w:r w:rsidRPr="00B726F9">
        <w:rPr>
          <w:rFonts w:ascii="Helvetica" w:hAnsi="Helvetica" w:cs="Times-Roman"/>
          <w:sz w:val="28"/>
          <w:szCs w:val="28"/>
          <w:vertAlign w:val="superscript"/>
        </w:rPr>
        <w:t>2</w:t>
      </w:r>
      <w:r w:rsidRPr="00B726F9">
        <w:rPr>
          <w:rFonts w:ascii="Helvetica" w:hAnsi="Helvetica" w:cs="Times-Roman"/>
          <w:sz w:val="28"/>
          <w:szCs w:val="28"/>
        </w:rPr>
        <w:t>, p&lt;0.001). In the LF diet, patients (n=45: 13% male and 87% female) had a mean age of 38.1±1.7yrs, and 35.6% of them maintained weight loss; achieving a significant decrease in weight (</w:t>
      </w:r>
      <w:r w:rsidRPr="00B726F9">
        <w:rPr>
          <w:rFonts w:ascii="Helvetica" w:eastAsia="Times New Roman" w:hAnsi="Helvetica" w:cs="Arial"/>
          <w:color w:val="222222"/>
          <w:sz w:val="28"/>
          <w:szCs w:val="28"/>
        </w:rPr>
        <w:t>73.0±3.7</w:t>
      </w:r>
      <w:r w:rsidRPr="00B726F9">
        <w:rPr>
          <w:rFonts w:ascii="Helvetica" w:hAnsi="Helvetica" w:cs="Times-Roman"/>
          <w:sz w:val="28"/>
          <w:szCs w:val="28"/>
        </w:rPr>
        <w:t>vs </w:t>
      </w:r>
      <w:r w:rsidRPr="00B726F9">
        <w:rPr>
          <w:rFonts w:ascii="Helvetica" w:eastAsia="Times New Roman" w:hAnsi="Helvetica" w:cs="Arial"/>
          <w:color w:val="222222"/>
          <w:sz w:val="28"/>
          <w:szCs w:val="28"/>
        </w:rPr>
        <w:t>65.8±3.5</w:t>
      </w:r>
      <w:r w:rsidRPr="00B726F9">
        <w:rPr>
          <w:rFonts w:ascii="Helvetica" w:hAnsi="Helvetica" w:cs="Times-Roman"/>
          <w:sz w:val="28"/>
          <w:szCs w:val="28"/>
        </w:rPr>
        <w:t>kg, p&lt;0.001) and BMI (</w:t>
      </w:r>
      <w:r w:rsidRPr="00B726F9">
        <w:rPr>
          <w:rFonts w:ascii="Helvetica" w:eastAsia="Times New Roman" w:hAnsi="Helvetica" w:cs="Arial"/>
          <w:color w:val="222222"/>
          <w:sz w:val="28"/>
          <w:szCs w:val="28"/>
        </w:rPr>
        <w:t>26.6±0.6</w:t>
      </w:r>
      <w:r w:rsidRPr="00B726F9">
        <w:rPr>
          <w:rFonts w:ascii="Helvetica" w:hAnsi="Helvetica" w:cs="Times-Roman"/>
          <w:sz w:val="28"/>
          <w:szCs w:val="28"/>
        </w:rPr>
        <w:t xml:space="preserve"> vs </w:t>
      </w:r>
      <w:r w:rsidRPr="00B726F9">
        <w:rPr>
          <w:rFonts w:ascii="Helvetica" w:eastAsia="Times New Roman" w:hAnsi="Helvetica" w:cs="Arial"/>
          <w:color w:val="222222"/>
          <w:sz w:val="28"/>
          <w:szCs w:val="28"/>
        </w:rPr>
        <w:t>24.0±0.6</w:t>
      </w:r>
      <w:r w:rsidRPr="00B726F9">
        <w:rPr>
          <w:rFonts w:ascii="Helvetica" w:hAnsi="Helvetica" w:cs="Times-Roman"/>
          <w:sz w:val="28"/>
          <w:szCs w:val="28"/>
        </w:rPr>
        <w:t>kg/m</w:t>
      </w:r>
      <w:r w:rsidRPr="00B726F9">
        <w:rPr>
          <w:rFonts w:ascii="Helvetica" w:hAnsi="Helvetica" w:cs="Times-Roman"/>
          <w:sz w:val="28"/>
          <w:szCs w:val="28"/>
          <w:vertAlign w:val="superscript"/>
        </w:rPr>
        <w:t>2</w:t>
      </w:r>
      <w:r w:rsidRPr="00B726F9">
        <w:rPr>
          <w:rFonts w:ascii="Helvetica" w:hAnsi="Helvetica" w:cs="Times-Roman"/>
          <w:sz w:val="28"/>
          <w:szCs w:val="28"/>
        </w:rPr>
        <w:t>, p&lt;0.001). Shifting from calorie restricted dietary interventions to macronutrient ones is a novel and more successful way of approaching and maintaining weight loss in the overweight and obese.</w:t>
      </w:r>
    </w:p>
    <w:p w14:paraId="77246EC8" w14:textId="77777777" w:rsidR="00695F0D" w:rsidRPr="00B726F9" w:rsidRDefault="00B726F9">
      <w:pPr>
        <w:rPr>
          <w:rFonts w:ascii="Helvetica" w:hAnsi="Helvetica"/>
          <w:sz w:val="28"/>
          <w:szCs w:val="28"/>
        </w:rPr>
      </w:pPr>
    </w:p>
    <w:sectPr w:rsidR="00695F0D" w:rsidRPr="00B726F9" w:rsidSect="006B2082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0E"/>
    <w:rsid w:val="006B2082"/>
    <w:rsid w:val="00796CB1"/>
    <w:rsid w:val="00B726F9"/>
    <w:rsid w:val="00C96D0E"/>
    <w:rsid w:val="00F8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FE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6D0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D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hallak</dc:creator>
  <cp:keywords/>
  <dc:description/>
  <cp:lastModifiedBy>nadine hallak</cp:lastModifiedBy>
  <cp:revision>1</cp:revision>
  <dcterms:created xsi:type="dcterms:W3CDTF">2017-11-30T08:09:00Z</dcterms:created>
  <dcterms:modified xsi:type="dcterms:W3CDTF">2017-11-30T08:28:00Z</dcterms:modified>
</cp:coreProperties>
</file>